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4EFB3DF9" wp14:editId="1785497C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:rsidR="00B84AAA" w:rsidRPr="00205301" w:rsidRDefault="00205301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Право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:rsidR="00664BF4" w:rsidRPr="00FC05FB" w:rsidRDefault="00FC05FB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</w:pPr>
      <w:r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Астана</w:t>
      </w:r>
      <w:r w:rsidR="00664BF4"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 xml:space="preserve"> 202</w:t>
      </w:r>
      <w:r w:rsidR="000C2392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3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:rsidR="00664BF4" w:rsidRPr="001B3D08" w:rsidRDefault="008E1EDE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:rsidR="00734013" w:rsidRPr="00847EB6" w:rsidRDefault="00664BF4" w:rsidP="002D76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Представленные субъектами предпринимательства фактические данные о рассматриваемых государственным органом обстоятельствах:  </w:t>
      </w:r>
    </w:p>
    <w:p w:rsidR="00734013" w:rsidRPr="00847EB6" w:rsidRDefault="00734013" w:rsidP="002D76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А) считаются достоверными до тех пор, пока суд или государственный орган не установит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обратное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в соответствии с законодательством РК; </w:t>
      </w:r>
    </w:p>
    <w:p w:rsidR="00734013" w:rsidRPr="00847EB6" w:rsidRDefault="00734013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считаются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недостоверными до тех пор, пока суд или государственный орган не установит обратное в соответствии с законодательством РК;</w:t>
      </w:r>
    </w:p>
    <w:p w:rsidR="00734013" w:rsidRPr="00847EB6" w:rsidRDefault="00734013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должны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быть проверены региональными палатами предпринимателей по месту нахождения субъекта предпринимательства;</w:t>
      </w:r>
    </w:p>
    <w:p w:rsidR="00734013" w:rsidRPr="00847EB6" w:rsidRDefault="00734013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считаются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недостоверными в любом случае, так как субъект предпринимательства является заинтересованным лицом. </w:t>
      </w:r>
    </w:p>
    <w:p w:rsidR="00533E29" w:rsidRPr="00847EB6" w:rsidRDefault="00533E29" w:rsidP="007340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2D7682" w:rsidRPr="00847EB6" w:rsidRDefault="00664BF4" w:rsidP="002D76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hAnsi="Times New Roman"/>
          <w:b/>
          <w:sz w:val="24"/>
          <w:szCs w:val="24"/>
        </w:rPr>
        <w:t xml:space="preserve">2. </w:t>
      </w:r>
      <w:r w:rsidR="002D7682" w:rsidRPr="00847EB6">
        <w:rPr>
          <w:rFonts w:ascii="Times New Roman" w:eastAsia="Calibri" w:hAnsi="Times New Roman" w:cs="Times New Roman"/>
          <w:b/>
          <w:sz w:val="24"/>
          <w:szCs w:val="24"/>
        </w:rPr>
        <w:t>Женщины, родившие (усыновившие, удочерившие) 5 и более детей и воспитавшие их до 8-летнего возраста, имеют право на пенсию по возрасту: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>А) по достижении 50 лет;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достижении 53 лет;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достижении 55 лет; 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достижении 57 лет.</w:t>
      </w:r>
    </w:p>
    <w:p w:rsidR="00753DA8" w:rsidRPr="00847EB6" w:rsidRDefault="00753DA8" w:rsidP="002D768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734013" w:rsidRPr="00847EB6" w:rsidRDefault="00664BF4" w:rsidP="00734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Под правом хозяйственного ведения понимается: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>А) форма собственности государственных юридических лиц;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вещное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право государственного предприятия;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право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владения имущества казенным предприятием; 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право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распоряжения имуществом государственного учреждения. </w:t>
      </w:r>
    </w:p>
    <w:p w:rsidR="00753DA8" w:rsidRPr="00847EB6" w:rsidRDefault="00753DA8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734013" w:rsidRPr="00847EB6" w:rsidRDefault="00664BF4" w:rsidP="007340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847E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Что является предметом открытия </w:t>
      </w:r>
      <w:proofErr w:type="spellStart"/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репо</w:t>
      </w:r>
      <w:proofErr w:type="spellEnd"/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 и закрытия </w:t>
      </w:r>
      <w:proofErr w:type="spellStart"/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репо</w:t>
      </w:r>
      <w:proofErr w:type="spellEnd"/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А) деньги; 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ценные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бумаги и (или) иные финансовые инструменты;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акции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и облигации; 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товары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, работы, услуги. </w:t>
      </w:r>
    </w:p>
    <w:p w:rsidR="002F513A" w:rsidRPr="00847EB6" w:rsidRDefault="002F513A" w:rsidP="0073401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2D7682" w:rsidRPr="00847EB6" w:rsidRDefault="00664BF4" w:rsidP="002D76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2D7682" w:rsidRPr="00847EB6">
        <w:rPr>
          <w:rFonts w:ascii="Times New Roman" w:eastAsia="Calibri" w:hAnsi="Times New Roman" w:cs="Times New Roman"/>
          <w:b/>
          <w:sz w:val="24"/>
          <w:szCs w:val="24"/>
        </w:rPr>
        <w:t>При совпадении ночного времени работы с праздничным или выходным днем оплата труда производится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>А) за ночные часы;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отдельно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за ночные часы и за часы праздничных или выходных дней;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часы праздничных и выходных дней;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или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за ночные часы или за часы праздничных и выходных дней на усмотрение работодателя.</w:t>
      </w:r>
    </w:p>
    <w:p w:rsidR="00B3004D" w:rsidRPr="00847EB6" w:rsidRDefault="00B3004D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734013" w:rsidRPr="00847EB6" w:rsidRDefault="00664BF4" w:rsidP="00734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Каковы правовые последствия представительства без полномочий: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>А) сделка считается недействительной;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сделка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считается действительной лишь в случае последующего одобрения представляемым;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сделка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считается действительной, если она совершена  в письменной форме и ее удостоверит нотариус;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сделка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считается действительной лишь в том случае, если она зарегистрирована в органах государственных доходов.</w:t>
      </w:r>
    </w:p>
    <w:p w:rsidR="00B3004D" w:rsidRPr="00847EB6" w:rsidRDefault="00B3004D" w:rsidP="00753D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734013" w:rsidRPr="00847EB6" w:rsidRDefault="00513EF2" w:rsidP="00734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Право наложения вето, удостоверенное «золотой акцией» в акционерном обществе: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>А) может быть продано через аукцион;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передаче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не подлежит;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отменяется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решением исполнительного органа;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действует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только в течение одного года.</w:t>
      </w:r>
    </w:p>
    <w:p w:rsidR="002D7682" w:rsidRPr="00847EB6" w:rsidRDefault="00513EF2" w:rsidP="002D76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8. </w:t>
      </w:r>
      <w:r w:rsidR="002D7682"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Предметом лизинга может быть: 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А) любая вещь; 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потребляемая вещь, кроме земельных участков; 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индивидуально-определенная потребляемая вещь; 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любая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непотребляемая</w:t>
      </w:r>
      <w:proofErr w:type="spell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вещь.</w:t>
      </w:r>
    </w:p>
    <w:p w:rsidR="00513EF2" w:rsidRPr="00847EB6" w:rsidRDefault="00513EF2" w:rsidP="002D768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2D7682" w:rsidRPr="00847EB6" w:rsidRDefault="00513EF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2D7682" w:rsidRPr="00847EB6">
        <w:rPr>
          <w:rFonts w:ascii="Times New Roman" w:eastAsia="Calibri" w:hAnsi="Times New Roman" w:cs="Times New Roman"/>
          <w:b/>
          <w:sz w:val="24"/>
          <w:szCs w:val="24"/>
        </w:rPr>
        <w:t>Обязанность страховать свою жизнь или здоровье на гражданина: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А) может быть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возложена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только законодательными актами;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не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может быть возложена ни законодательными актами, ни договором;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может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быть возложена работодателем; 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может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быть возложена банком при заключении договора банковского займа.</w:t>
      </w:r>
    </w:p>
    <w:p w:rsidR="002F513A" w:rsidRPr="00847EB6" w:rsidRDefault="002F513A" w:rsidP="002D76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734013" w:rsidRPr="00847EB6" w:rsidRDefault="00513EF2" w:rsidP="00734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течение</w:t>
      </w:r>
      <w:proofErr w:type="gramEnd"/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 какого времени действует доверенность, если в ней указан срок более трех лет?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>А) в этом случае доверенность действует в течение указанного срока;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этом случае доверенность признается недействительной;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этом случае доверенность действует только один год;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этом случае доверенность действует только три года.</w:t>
      </w:r>
    </w:p>
    <w:p w:rsidR="00B3004D" w:rsidRPr="00847EB6" w:rsidRDefault="00B3004D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013" w:rsidRPr="00847EB6" w:rsidRDefault="00513EF2" w:rsidP="00734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Бессрочный договор комплексной предпринимательской </w:t>
      </w:r>
      <w:proofErr w:type="gramStart"/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лицензии</w:t>
      </w:r>
      <w:proofErr w:type="gramEnd"/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 может быть расторгнут одной из сторон: 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А) путем уведомления другой стороны за 30 дней; 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путем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извещения другой стороны за 6 месяцев, если договором не установлен более длительный срок;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в случае ликвидации или реорганизации одной из сторон; 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ни при каких обстоятельствах. </w:t>
      </w:r>
    </w:p>
    <w:p w:rsidR="00753DA8" w:rsidRPr="00847EB6" w:rsidRDefault="00753DA8" w:rsidP="0073401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013" w:rsidRPr="00847EB6" w:rsidRDefault="00513EF2" w:rsidP="00734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В каком случае допускается при совершении сделки использование средств факсимильного копирования подписи, электронной цифровой подписи: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</w:rPr>
        <w:t>А) если это не противоречит законодательству или требованию одного из участников;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если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на это имеется прямое указание в нормативном правовом акте;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если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на это имеется прямое указание в соглашении сторон;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данный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вопрос не урегулирован со стороны законодательства. </w:t>
      </w:r>
    </w:p>
    <w:p w:rsidR="00B3004D" w:rsidRPr="00847EB6" w:rsidRDefault="00B3004D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7682" w:rsidRPr="00847EB6" w:rsidRDefault="00513EF2" w:rsidP="002D76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2D7682" w:rsidRPr="00847EB6">
        <w:rPr>
          <w:rFonts w:ascii="Times New Roman" w:eastAsia="Calibri" w:hAnsi="Times New Roman" w:cs="Times New Roman"/>
          <w:b/>
          <w:sz w:val="24"/>
          <w:szCs w:val="24"/>
        </w:rPr>
        <w:t>В каком случае бухгалтер получил бы личное неимущественное право авторства на Рекомендации по организации бухгалтерского учета на предприятии, разрабатывая их по служебному заданию работодателя?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А) если это предусмотрено условиями договора с работодателем; 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если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бухгалтер зарегистрирует свое авторское право на служебное произведение в установленном порядке; 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любом случае, т.к. он является автором произведения; 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ни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в каком случае, потому что все права на служебные произведения, создаваемые работником принадлежат работодателю.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682" w:rsidRPr="00847EB6" w:rsidRDefault="00513EF2" w:rsidP="002D76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2D7682" w:rsidRPr="00847EB6">
        <w:rPr>
          <w:rFonts w:ascii="Times New Roman" w:eastAsia="Calibri" w:hAnsi="Times New Roman" w:cs="Times New Roman"/>
          <w:b/>
          <w:sz w:val="24"/>
          <w:szCs w:val="24"/>
        </w:rPr>
        <w:t>Может ли страхователь быть одновременно застрахованным?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>А) они являются разными субъектами;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страхователь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и застрахованный - это одно и то же лицо; 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зависит от страховщика; </w:t>
      </w: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может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в зависимости от условий договора.</w:t>
      </w:r>
    </w:p>
    <w:p w:rsidR="00B3004D" w:rsidRPr="00847EB6" w:rsidRDefault="00B3004D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D7682" w:rsidRPr="00847EB6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4013" w:rsidRPr="00847EB6" w:rsidRDefault="00513EF2" w:rsidP="00734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15.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С какого момента утрачивает силу регистрация индивидуального предпринимателя при его банкротстве? 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>А) со дня внесения органами юстиции в Национальный реестр БИН-</w:t>
      </w:r>
      <w:proofErr w:type="spellStart"/>
      <w:r w:rsidRPr="00847EB6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сведений о банкротстве индивидуального предпринимателя;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дня признания решением суда банкротства индивидуального предпринимателя;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дня удовлетворения требований кредиторов индивидуального предпринимателя;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дня вступления в законную силу определения суда о завершении процедуры банкротства индивидуального предпринимателя.</w:t>
      </w:r>
    </w:p>
    <w:p w:rsidR="002F513A" w:rsidRPr="00847EB6" w:rsidRDefault="002F513A" w:rsidP="007340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013" w:rsidRPr="00847EB6" w:rsidRDefault="00513EF2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Для руководителей организаций и их заместителей, главных бухгалтеров и их заместителей, руководителей филиалов, представительств организаций испытательный срок может быть увеличен: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>А) до девяти месяцев;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шести месяцев;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четырех месяцев;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трех месяцев. </w:t>
      </w:r>
    </w:p>
    <w:p w:rsidR="002F513A" w:rsidRPr="00847EB6" w:rsidRDefault="002F513A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013" w:rsidRPr="00847EB6" w:rsidRDefault="00513EF2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Сроки исковой давности и порядок их исчисления: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А) предусматриваются законом, но могут быть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изменены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соглашением сторон;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предусматриваются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законом и не могут быть изменены соглашением сторон;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предусматриваются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законом, но могут быть изменены решением суда;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определяются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соглашением сторон и могут быть изменены этим соглашением. </w:t>
      </w:r>
    </w:p>
    <w:p w:rsidR="00B3004D" w:rsidRPr="00847EB6" w:rsidRDefault="00B3004D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013" w:rsidRPr="00847EB6" w:rsidRDefault="00513EF2" w:rsidP="00734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Если иное не предусмотрено законодательными актами, регулирующими банковскую деятельность, договор о переводе денег без открытия банковского счета считается заключенным, если банк:</w:t>
      </w:r>
    </w:p>
    <w:p w:rsidR="00734013" w:rsidRPr="00847EB6" w:rsidRDefault="00734013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>А) присваивает клиенту индивидуальный идентификационный код;</w:t>
      </w:r>
    </w:p>
    <w:p w:rsidR="00734013" w:rsidRPr="00847EB6" w:rsidRDefault="00734013" w:rsidP="002D76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принимает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к исполнению поручение клиента в момент его обращения;</w:t>
      </w:r>
    </w:p>
    <w:p w:rsidR="00734013" w:rsidRPr="00847EB6" w:rsidRDefault="00734013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выдает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клиенту платежный документ об исполнении перевода денег;</w:t>
      </w:r>
    </w:p>
    <w:p w:rsidR="00734013" w:rsidRPr="00847EB6" w:rsidRDefault="00734013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списывает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комиссию за перевод денег после проведения перевода.  </w:t>
      </w:r>
    </w:p>
    <w:p w:rsidR="00B3004D" w:rsidRPr="00847EB6" w:rsidRDefault="00B3004D" w:rsidP="00753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013" w:rsidRPr="00847EB6" w:rsidRDefault="00513EF2" w:rsidP="00734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Вправе ли акционеры АО принимать участие в заседании общего собрания акционеров, проводимого в очном порядке, дистанционно?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>А) не вправе;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вправе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вправе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с использованием информационно-коммуникационных технологий, определенными внутренними документами АО;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закон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не регулирует данный вопрос.</w:t>
      </w:r>
    </w:p>
    <w:p w:rsidR="00753DA8" w:rsidRPr="00847EB6" w:rsidRDefault="00753DA8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013" w:rsidRPr="00847EB6" w:rsidRDefault="00513EF2" w:rsidP="00734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Если в обязательстве участвуют несколько кредиторов или несколько должников (обязательство </w:t>
      </w:r>
      <w:proofErr w:type="gramStart"/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>со</w:t>
      </w:r>
      <w:proofErr w:type="gramEnd"/>
      <w:r w:rsidR="00734013" w:rsidRPr="00847EB6">
        <w:rPr>
          <w:rFonts w:ascii="Times New Roman" w:eastAsia="Calibri" w:hAnsi="Times New Roman" w:cs="Times New Roman"/>
          <w:b/>
          <w:sz w:val="24"/>
          <w:szCs w:val="24"/>
        </w:rPr>
        <w:t xml:space="preserve"> множественностью лиц), то каждый из кредиторов имеет право требовать исполнения, а каждый из должников каким образом обязан исполнить обязательство, поскольку из законодательства или условий обязательства не вытекает иное (долевое обязательство):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А) кредитор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определяет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в какой доле будет отвечать каждый должник;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первую очередь несут ответственность юридические лица – должники и лишь потом физические лица – должники;</w:t>
      </w:r>
    </w:p>
    <w:p w:rsidR="00734013" w:rsidRPr="00847EB6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E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847EB6">
        <w:rPr>
          <w:rFonts w:ascii="Times New Roman" w:eastAsia="Calibri" w:hAnsi="Times New Roman" w:cs="Times New Roman"/>
          <w:bCs/>
          <w:sz w:val="24"/>
          <w:szCs w:val="24"/>
        </w:rPr>
        <w:t xml:space="preserve"> равной доле с другими;</w:t>
      </w:r>
    </w:p>
    <w:p w:rsidR="00734013" w:rsidRPr="00734013" w:rsidRDefault="00734013" w:rsidP="00734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B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47EB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47EB6">
        <w:rPr>
          <w:rFonts w:ascii="Times New Roman" w:eastAsia="Calibri" w:hAnsi="Times New Roman" w:cs="Times New Roman"/>
          <w:sz w:val="24"/>
          <w:szCs w:val="24"/>
        </w:rPr>
        <w:t xml:space="preserve"> зависимости</w:t>
      </w:r>
      <w:bookmarkStart w:id="0" w:name="_GoBack"/>
      <w:bookmarkEnd w:id="0"/>
      <w:r w:rsidRPr="00734013">
        <w:rPr>
          <w:rFonts w:ascii="Times New Roman" w:eastAsia="Calibri" w:hAnsi="Times New Roman" w:cs="Times New Roman"/>
          <w:sz w:val="24"/>
          <w:szCs w:val="24"/>
        </w:rPr>
        <w:t xml:space="preserve"> от времени принятия каждым должником на себя обязательства.  </w:t>
      </w:r>
    </w:p>
    <w:p w:rsidR="00BC0AC6" w:rsidRPr="0025781A" w:rsidRDefault="00BC0AC6" w:rsidP="00734013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C05FB" w:rsidRDefault="00FC05F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3004D" w:rsidRDefault="00B3004D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:rsidR="002D7682" w:rsidRPr="002D7682" w:rsidRDefault="002D7682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:rsidR="00544D9E" w:rsidRPr="00A42B78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:rsidR="00544D9E" w:rsidRPr="00B3004D" w:rsidRDefault="00544D9E" w:rsidP="00A42B78">
      <w:pPr>
        <w:spacing w:after="0" w:line="240" w:lineRule="auto"/>
        <w:rPr>
          <w:rFonts w:ascii="Times New Roman" w:eastAsiaTheme="minorEastAsia" w:hAnsi="Times New Roman"/>
          <w:b/>
          <w:sz w:val="14"/>
          <w:szCs w:val="28"/>
          <w:lang w:eastAsia="ru-RU"/>
        </w:rPr>
      </w:pPr>
    </w:p>
    <w:p w:rsidR="00544D9E" w:rsidRPr="00A42B78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:rsidR="00544D9E" w:rsidRPr="001A1C25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:rsidR="00544D9E" w:rsidRPr="00A42B7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544D9E" w:rsidRPr="002938A9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14"/>
          <w:szCs w:val="24"/>
        </w:rPr>
      </w:pP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7BD2">
        <w:rPr>
          <w:rFonts w:ascii="Times New Roman" w:eastAsia="Calibri" w:hAnsi="Times New Roman" w:cs="Times New Roman"/>
          <w:sz w:val="24"/>
          <w:szCs w:val="24"/>
        </w:rPr>
        <w:t>14 сентября 2022 г. ТОО "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Микрофинансовая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организация «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Zaymu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>»" обратилось в суд г. Актау с иском к редакции газеты "Каспий" о защите деловой репутации, в котором просило на основании ст. 143 Гражданского кодекса РК обязать ответчиков опровергнуть не соответствующие действительности, порочащие деловую репутацию истца сведения, опубликованные газетой 16 августа 2022 г. в статье "Компания «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Zaymu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>»: спрут нашего города".</w:t>
      </w:r>
      <w:proofErr w:type="gram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Например, в статье утверждалось, что "средняя заработная плата работников сократилась с 200 тыс. до 80 тыс. тенге", что "…щупальца этого чудовища опутали несчастных горожан". Кроме того, истец просил взыскать с ответчиков 10 000 000 тенге морального вреда.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Своим решением от 30 сентября 2022 г. суд обязал газету "Каспий" опубликовать в ближайшем номере опровержение порочащих сведений, как не соответствующих действительности, но отказал в удовлетворении требований ТОО о взыскании морального вреда.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B7BD2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1" w:name="_Hlk94214530"/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В каком размере вправе предоставлять </w:t>
      </w:r>
      <w:proofErr w:type="spellStart"/>
      <w:r w:rsidRPr="00CB7BD2">
        <w:rPr>
          <w:rFonts w:ascii="Times New Roman" w:eastAsia="Calibri" w:hAnsi="Times New Roman" w:cs="Times New Roman"/>
          <w:b/>
          <w:sz w:val="24"/>
          <w:szCs w:val="24"/>
        </w:rPr>
        <w:t>микрокредиты</w:t>
      </w:r>
      <w:proofErr w:type="spellEnd"/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физическим и юридическим лицам </w:t>
      </w:r>
      <w:proofErr w:type="spellStart"/>
      <w:r w:rsidRPr="00CB7BD2">
        <w:rPr>
          <w:rFonts w:ascii="Times New Roman" w:eastAsia="Calibri" w:hAnsi="Times New Roman" w:cs="Times New Roman"/>
          <w:b/>
          <w:sz w:val="24"/>
          <w:szCs w:val="24"/>
        </w:rPr>
        <w:t>микрофинансовые</w:t>
      </w:r>
      <w:proofErr w:type="spellEnd"/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организации? </w:t>
      </w:r>
    </w:p>
    <w:bookmarkEnd w:id="1"/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B7BD2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2" w:name="_Hlk94127511"/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Что является объектом гражданских прав в данном случае? Каким образом юридическое лицо может защитить свою деловую репутацию? </w:t>
      </w:r>
    </w:p>
    <w:bookmarkEnd w:id="2"/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bookmarkStart w:id="3" w:name="_Hlk94216854"/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Кто признается руководящими работниками </w:t>
      </w:r>
      <w:proofErr w:type="spellStart"/>
      <w:r w:rsidRPr="00CB7BD2">
        <w:rPr>
          <w:rFonts w:ascii="Times New Roman" w:eastAsia="Calibri" w:hAnsi="Times New Roman" w:cs="Times New Roman"/>
          <w:b/>
          <w:sz w:val="24"/>
          <w:szCs w:val="24"/>
        </w:rPr>
        <w:t>микрофинансовой</w:t>
      </w:r>
      <w:proofErr w:type="spellEnd"/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организации? </w:t>
      </w:r>
    </w:p>
    <w:bookmarkEnd w:id="3"/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CB7BD2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4" w:name="_Hlk94127583"/>
      <w:r w:rsidRPr="00CB7BD2">
        <w:rPr>
          <w:rFonts w:ascii="Times New Roman" w:eastAsia="Calibri" w:hAnsi="Times New Roman" w:cs="Times New Roman"/>
          <w:b/>
          <w:sz w:val="24"/>
          <w:szCs w:val="24"/>
        </w:rPr>
        <w:t>Что представляет собой моральный вред? Правомерно ли суд отказал юридическому лицу в возмещении морального вреда?</w:t>
      </w:r>
      <w:bookmarkEnd w:id="4"/>
      <w:r w:rsidRPr="00CB7BD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:rsidR="00DD4483" w:rsidRDefault="00DD4483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3004D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3004D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3004D" w:rsidRPr="00A42B78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601E" w:rsidRPr="00A42B78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45601E" w:rsidRPr="002938A9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18"/>
          <w:szCs w:val="24"/>
        </w:rPr>
      </w:pP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>28 января 2022 г. ТОО «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Дукла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» (Арендодатель) заключило договор аренды транспортного средства с экипажем с ТОО «Бургос» (Арендатор) сроком на один год. По условиям договора арендодатель был обязан предоставить арендатору автомобиль марки «Фольксваген» (микроавтобус) для перевозки сотрудников за плату. Кроме того, арендатор был обязан 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препринять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меры для сохранности автомобиля.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В течение действия договора  произошли следующие события.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>Осуществлялся текущий ремонт авто (замена масляных и воздушных фильтров, тормозных колодок и т.п.).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Водитель 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Каппаров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потребовал оплаты от арендодателя. Договор этот вопрос не регулировал. Арендодатель заявил, что водитель теперь состоит в трудовых отношениях с арендатором, который и должен платить ему.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В свою очередь арендатор потребовал оплатить расходы на топливо, масло и другие материалы, которые он вынужден был нести в ходе коммерческой эксплуатации транспортного средства.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В нерабочее время автомобиль оставляли на территории производственного комплекса, принадлежащего арендатору. По его вине вовремя не продлили договор на оказание охранных услуг, чем воспользовались злоумышленники, которые разбили фары и привели в негодность колеса.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B7BD2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5" w:name="_Hlk94215931"/>
      <w:r w:rsidRPr="00CB7BD2">
        <w:rPr>
          <w:rFonts w:ascii="Times New Roman" w:eastAsia="Calibri" w:hAnsi="Times New Roman" w:cs="Times New Roman"/>
          <w:b/>
          <w:sz w:val="24"/>
          <w:szCs w:val="24"/>
        </w:rPr>
        <w:t>В чем состоит содержание договора аренды транспортного средства с экипажем? Кто из сторон обязан нести расходы по поддержанию транспортного средства в надлежащем состоянии?</w:t>
      </w:r>
    </w:p>
    <w:bookmarkEnd w:id="5"/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Pr="00CB7BD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На кого возлагается обязанность страховать транспортное средство и (или) страховать ответственность за ущерб, который может быть причинен им?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B7BD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В чем состоят особенности трудовых отношений работника </w:t>
      </w:r>
      <w:proofErr w:type="spellStart"/>
      <w:r w:rsidRPr="00CB7BD2">
        <w:rPr>
          <w:rFonts w:ascii="Times New Roman" w:eastAsia="Calibri" w:hAnsi="Times New Roman" w:cs="Times New Roman"/>
          <w:b/>
          <w:sz w:val="24"/>
          <w:szCs w:val="24"/>
        </w:rPr>
        <w:t>Каппарова</w:t>
      </w:r>
      <w:proofErr w:type="spellEnd"/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 в этом случае?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CB7BD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Кто по условиям задачи несет ответственность за вред, причиненный транспортному средству? </w:t>
      </w:r>
    </w:p>
    <w:p w:rsidR="0075084C" w:rsidRDefault="0075084C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75084C" w:rsidRPr="002938A9" w:rsidRDefault="0075084C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FC05FB" w:rsidRPr="00FC05FB" w:rsidRDefault="00FC05FB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D6E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BC0AC6" w:rsidRPr="002938A9" w:rsidRDefault="00BC0AC6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>Для строительства торгово-развлекательного центра и его совместной эксплуатации ТДО «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Акмарал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>», ТОО «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Шолпан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>» и АО «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Шортанды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»  решили создать простое товарищество. 10 мая </w:t>
      </w:r>
      <w:r w:rsidRPr="00CB7BD2">
        <w:rPr>
          <w:rFonts w:ascii="Times New Roman" w:eastAsia="Calibri" w:hAnsi="Times New Roman" w:cs="Times New Roman"/>
          <w:color w:val="000000"/>
          <w:sz w:val="24"/>
          <w:szCs w:val="24"/>
        </w:rPr>
        <w:t>2022</w:t>
      </w:r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г. они заключили договор о совместной деятельности в простой письменной форме, где указали следующее.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>Во-первых, каждый из участников вносит в общую собственность свое имущество. Так, например, ТОО обязалось предоставить строительные материалы, АО – оборудование, а ТДО – транспортные средства (кран, 2 грузовых автомобиля).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В-третьих, финансирование </w:t>
      </w:r>
      <w:proofErr w:type="gramStart"/>
      <w:r w:rsidRPr="00CB7BD2">
        <w:rPr>
          <w:rFonts w:ascii="Times New Roman" w:eastAsia="Calibri" w:hAnsi="Times New Roman" w:cs="Times New Roman"/>
          <w:sz w:val="24"/>
          <w:szCs w:val="24"/>
        </w:rPr>
        <w:t>бизнес-проекта</w:t>
      </w:r>
      <w:proofErr w:type="gram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путем получения кредита в банке и оформления его на простое товарищество.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В-четвертых, срок исковой давности для кредиторов и должников простого товарищества составляет 2 года. 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Заключив договор о совместной </w:t>
      </w:r>
      <w:proofErr w:type="gramStart"/>
      <w:r w:rsidRPr="00CB7BD2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участники обратились в Государственную корпорацию "Правительство для граждан" с просьбой зарегистрировать простое товарищество как юридическое лицо.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Однако регистрирующий орган отказал в регистрации, указав на то, что для простого товарищества государственной регистрации не требуется, потому что оно не является юридическим лицом и создается лишь для какой-либо совместной деятельности, в 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>. предпринимательской</w:t>
      </w:r>
      <w:proofErr w:type="gramStart"/>
      <w:r w:rsidRPr="00CB7BD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7BD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ледующие причины.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B7BD2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6" w:name="_Hlk94123048"/>
      <w:r w:rsidRPr="00CB7BD2">
        <w:rPr>
          <w:rFonts w:ascii="Times New Roman" w:eastAsia="Calibri" w:hAnsi="Times New Roman" w:cs="Times New Roman"/>
          <w:b/>
          <w:sz w:val="24"/>
          <w:szCs w:val="24"/>
        </w:rPr>
        <w:t>Правомерен ли отказ Государственной корпорации "Правительство для граждан" в регистрации простого товарищества? Кто может быть участниками простого товарищества?</w:t>
      </w:r>
    </w:p>
    <w:bookmarkEnd w:id="6"/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B7BD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Закреплено ли в законодательстве требование к минимальному размеру уставного капитала простого товарищества? </w:t>
      </w:r>
      <w:bookmarkStart w:id="7" w:name="_Hlk94180143"/>
      <w:r w:rsidRPr="00CB7BD2">
        <w:rPr>
          <w:rFonts w:ascii="Times New Roman" w:eastAsia="Calibri" w:hAnsi="Times New Roman" w:cs="Times New Roman"/>
          <w:b/>
          <w:sz w:val="24"/>
          <w:szCs w:val="24"/>
        </w:rPr>
        <w:t>Какой вид собственности возникает при создании простого товарищества?</w:t>
      </w:r>
    </w:p>
    <w:bookmarkEnd w:id="7"/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>3. Какими являются обязательства участников простого товарищества перед третьими лицами?</w:t>
      </w:r>
      <w:r w:rsidRPr="00CB7BD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bookmarkStart w:id="8" w:name="_Hlk94178468"/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Соответствует ли срок исковой давности, который определили участники простого товарищества, гражданскому законодательству РК?  </w:t>
      </w:r>
    </w:p>
    <w:bookmarkEnd w:id="8"/>
    <w:p w:rsidR="002938A9" w:rsidRDefault="002938A9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5084C" w:rsidRDefault="0075084C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5084C" w:rsidRPr="00847EB6" w:rsidRDefault="0075084C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50F29" w:rsidRPr="00847EB6" w:rsidRDefault="00250F29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51D6E" w:rsidRPr="00A42B7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151D6E" w:rsidRPr="002938A9" w:rsidRDefault="00151D6E" w:rsidP="00151D6E">
      <w:pPr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24"/>
        </w:rPr>
      </w:pP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>29 октября 2021 г. ТОО «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Батыс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» заключило договор аренды  нежилого помещения (склад) с ИП 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Жакуповым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сроком на 1 год.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>30 мая 2022 г.  ТОО «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Батыс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» продало это помещение производственному кооперативу «Дачник» (далее – ПК) по договору купли-продажи. Представители ПК потребовали от ИП 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Жакупова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освободить арендуемое недвижимое имущество, т.к. по их мнению, договор аренды с прежним собственником утратил силу.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 w:rsidRPr="00CB7BD2">
        <w:rPr>
          <w:rFonts w:ascii="Times New Roman" w:eastAsia="Calibri" w:hAnsi="Times New Roman" w:cs="Times New Roman"/>
          <w:sz w:val="24"/>
          <w:szCs w:val="24"/>
        </w:rPr>
        <w:t>Жакупов</w:t>
      </w:r>
      <w:proofErr w:type="spell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gramStart"/>
      <w:r w:rsidRPr="00CB7BD2">
        <w:rPr>
          <w:rFonts w:ascii="Times New Roman" w:eastAsia="Calibri" w:hAnsi="Times New Roman" w:cs="Times New Roman"/>
          <w:sz w:val="24"/>
          <w:szCs w:val="24"/>
        </w:rPr>
        <w:t>согласился с позицией</w:t>
      </w:r>
      <w:proofErr w:type="gramEnd"/>
      <w:r w:rsidRPr="00CB7BD2">
        <w:rPr>
          <w:rFonts w:ascii="Times New Roman" w:eastAsia="Calibri" w:hAnsi="Times New Roman" w:cs="Times New Roman"/>
          <w:sz w:val="24"/>
          <w:szCs w:val="24"/>
        </w:rPr>
        <w:t xml:space="preserve"> нового собственника, и 4 июня 2022 г. стороны обратились в суд за разрешением спора. 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Вопросы: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1. Какими полномочиями, входящими </w:t>
      </w:r>
      <w:proofErr w:type="gramStart"/>
      <w:r w:rsidRPr="00CB7BD2">
        <w:rPr>
          <w:rFonts w:ascii="Times New Roman" w:eastAsia="Calibri" w:hAnsi="Times New Roman" w:cs="Times New Roman"/>
          <w:b/>
          <w:sz w:val="24"/>
          <w:szCs w:val="24"/>
        </w:rPr>
        <w:t>в право</w:t>
      </w:r>
      <w:proofErr w:type="gramEnd"/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 собственности, обладало ТОО «</w:t>
      </w:r>
      <w:proofErr w:type="spellStart"/>
      <w:r w:rsidRPr="00CB7BD2">
        <w:rPr>
          <w:rFonts w:ascii="Times New Roman" w:eastAsia="Calibri" w:hAnsi="Times New Roman" w:cs="Times New Roman"/>
          <w:b/>
          <w:sz w:val="24"/>
          <w:szCs w:val="24"/>
        </w:rPr>
        <w:t>Батыс</w:t>
      </w:r>
      <w:proofErr w:type="spellEnd"/>
      <w:r w:rsidRPr="00CB7BD2">
        <w:rPr>
          <w:rFonts w:ascii="Times New Roman" w:eastAsia="Calibri" w:hAnsi="Times New Roman" w:cs="Times New Roman"/>
          <w:b/>
          <w:sz w:val="24"/>
          <w:szCs w:val="24"/>
        </w:rPr>
        <w:t>», являясь собственником имущества? Раскройте эти полномочия.</w:t>
      </w:r>
    </w:p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bookmarkStart w:id="9" w:name="_Hlk94215364"/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Охарактеризуйте договор аренды. </w:t>
      </w:r>
    </w:p>
    <w:bookmarkEnd w:id="9"/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bookmarkStart w:id="10" w:name="_Hlk94121379"/>
      <w:r w:rsidRPr="00CB7BD2">
        <w:rPr>
          <w:rFonts w:ascii="Times New Roman" w:eastAsia="Calibri" w:hAnsi="Times New Roman" w:cs="Times New Roman"/>
          <w:b/>
          <w:sz w:val="24"/>
          <w:szCs w:val="24"/>
        </w:rPr>
        <w:t>С какого момента возникает правоспособность у ТОО «</w:t>
      </w:r>
      <w:proofErr w:type="spellStart"/>
      <w:r w:rsidRPr="00CB7BD2">
        <w:rPr>
          <w:rFonts w:ascii="Times New Roman" w:eastAsia="Calibri" w:hAnsi="Times New Roman" w:cs="Times New Roman"/>
          <w:b/>
          <w:sz w:val="24"/>
          <w:szCs w:val="24"/>
        </w:rPr>
        <w:t>Батыс</w:t>
      </w:r>
      <w:proofErr w:type="spellEnd"/>
      <w:r w:rsidRPr="00CB7BD2">
        <w:rPr>
          <w:rFonts w:ascii="Times New Roman" w:eastAsia="Calibri" w:hAnsi="Times New Roman" w:cs="Times New Roman"/>
          <w:b/>
          <w:sz w:val="24"/>
          <w:szCs w:val="24"/>
        </w:rPr>
        <w:t>» как юридического лица?</w:t>
      </w:r>
    </w:p>
    <w:bookmarkEnd w:id="10"/>
    <w:p w:rsidR="00CB7BD2" w:rsidRPr="00CB7BD2" w:rsidRDefault="00CB7BD2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BD2">
        <w:rPr>
          <w:rFonts w:ascii="Times New Roman" w:eastAsia="Calibri" w:hAnsi="Times New Roman" w:cs="Times New Roman"/>
          <w:b/>
          <w:sz w:val="24"/>
          <w:szCs w:val="24"/>
        </w:rPr>
        <w:t>4. Чья позиция правомерна в данной ситуации?</w:t>
      </w:r>
    </w:p>
    <w:p w:rsidR="006168BB" w:rsidRPr="00250F29" w:rsidRDefault="006168BB" w:rsidP="00CB7BD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168BB" w:rsidRPr="00250F2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D8"/>
    <w:rsid w:val="00017827"/>
    <w:rsid w:val="000577B1"/>
    <w:rsid w:val="000701AB"/>
    <w:rsid w:val="000B5C72"/>
    <w:rsid w:val="000C2392"/>
    <w:rsid w:val="000C680D"/>
    <w:rsid w:val="00100707"/>
    <w:rsid w:val="00103AF1"/>
    <w:rsid w:val="00151D6E"/>
    <w:rsid w:val="00193283"/>
    <w:rsid w:val="00194202"/>
    <w:rsid w:val="001A1C25"/>
    <w:rsid w:val="001A5243"/>
    <w:rsid w:val="001B3D08"/>
    <w:rsid w:val="001B6E4F"/>
    <w:rsid w:val="00205301"/>
    <w:rsid w:val="00227582"/>
    <w:rsid w:val="00232320"/>
    <w:rsid w:val="00250F29"/>
    <w:rsid w:val="002511AF"/>
    <w:rsid w:val="0025781A"/>
    <w:rsid w:val="002938A9"/>
    <w:rsid w:val="002B7119"/>
    <w:rsid w:val="002D7682"/>
    <w:rsid w:val="002F2F2F"/>
    <w:rsid w:val="002F513A"/>
    <w:rsid w:val="002F693E"/>
    <w:rsid w:val="00304117"/>
    <w:rsid w:val="003A0BFF"/>
    <w:rsid w:val="00431DDD"/>
    <w:rsid w:val="0043763B"/>
    <w:rsid w:val="0045601E"/>
    <w:rsid w:val="00463467"/>
    <w:rsid w:val="004A3DE9"/>
    <w:rsid w:val="004F7FD5"/>
    <w:rsid w:val="00502D8E"/>
    <w:rsid w:val="00502E56"/>
    <w:rsid w:val="00513EF2"/>
    <w:rsid w:val="00517925"/>
    <w:rsid w:val="00533E29"/>
    <w:rsid w:val="00544D9E"/>
    <w:rsid w:val="00564CF8"/>
    <w:rsid w:val="00585AD8"/>
    <w:rsid w:val="005A5845"/>
    <w:rsid w:val="005D49AD"/>
    <w:rsid w:val="005E4D03"/>
    <w:rsid w:val="005F6FD6"/>
    <w:rsid w:val="006168BB"/>
    <w:rsid w:val="00664BF4"/>
    <w:rsid w:val="00684EC0"/>
    <w:rsid w:val="006D5001"/>
    <w:rsid w:val="006F7392"/>
    <w:rsid w:val="00711C64"/>
    <w:rsid w:val="00734013"/>
    <w:rsid w:val="00734AED"/>
    <w:rsid w:val="00740E2A"/>
    <w:rsid w:val="0075084C"/>
    <w:rsid w:val="00753DA8"/>
    <w:rsid w:val="00770B91"/>
    <w:rsid w:val="0078455A"/>
    <w:rsid w:val="00811127"/>
    <w:rsid w:val="00847EB6"/>
    <w:rsid w:val="008E1EDE"/>
    <w:rsid w:val="00907A65"/>
    <w:rsid w:val="00940031"/>
    <w:rsid w:val="009671B3"/>
    <w:rsid w:val="009832D7"/>
    <w:rsid w:val="009E2A96"/>
    <w:rsid w:val="009F14A7"/>
    <w:rsid w:val="009F6DDD"/>
    <w:rsid w:val="00A42B78"/>
    <w:rsid w:val="00A72337"/>
    <w:rsid w:val="00A7381A"/>
    <w:rsid w:val="00AE169A"/>
    <w:rsid w:val="00B0763E"/>
    <w:rsid w:val="00B14C99"/>
    <w:rsid w:val="00B3004D"/>
    <w:rsid w:val="00B84AAA"/>
    <w:rsid w:val="00BA7468"/>
    <w:rsid w:val="00BC0AC6"/>
    <w:rsid w:val="00BF0280"/>
    <w:rsid w:val="00C03B73"/>
    <w:rsid w:val="00C218E2"/>
    <w:rsid w:val="00CB7BD2"/>
    <w:rsid w:val="00CD6ACC"/>
    <w:rsid w:val="00D0307C"/>
    <w:rsid w:val="00D62A07"/>
    <w:rsid w:val="00D71661"/>
    <w:rsid w:val="00DD3C3C"/>
    <w:rsid w:val="00DD4483"/>
    <w:rsid w:val="00DE49A9"/>
    <w:rsid w:val="00E42E69"/>
    <w:rsid w:val="00E67CA9"/>
    <w:rsid w:val="00E70C4E"/>
    <w:rsid w:val="00EA3D5F"/>
    <w:rsid w:val="00EC0354"/>
    <w:rsid w:val="00F2216C"/>
    <w:rsid w:val="00F23874"/>
    <w:rsid w:val="00F538FC"/>
    <w:rsid w:val="00FC05FB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C986-90EA-417F-8519-488EE16D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</cp:lastModifiedBy>
  <cp:revision>39</cp:revision>
  <dcterms:created xsi:type="dcterms:W3CDTF">2020-02-26T05:38:00Z</dcterms:created>
  <dcterms:modified xsi:type="dcterms:W3CDTF">2023-06-21T04:33:00Z</dcterms:modified>
</cp:coreProperties>
</file>